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85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9074"/>
      </w:tblGrid>
      <w:tr>
        <w:trPr>
          <w:trHeight w:val="925" w:hRule="atLeast"/>
        </w:trPr>
        <w:tc>
          <w:tcPr>
            <w:tcW w:w="9074" w:type="dxa"/>
            <w:tcBorders/>
            <w:vAlign w:val="center"/>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pic:spPr>
                      </pic:pic>
                    </a:graphicData>
                  </a:graphic>
                </wp:inline>
              </w:drawing>
            </w:r>
          </w:p>
        </w:tc>
      </w:tr>
      <w:tr>
        <w:trPr>
          <w:trHeight w:val="736" w:hRule="atLeast"/>
        </w:trPr>
        <w:tc>
          <w:tcPr>
            <w:tcW w:w="9074"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fals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673"/>
        <w:gridCol w:w="523"/>
        <w:gridCol w:w="1532"/>
        <w:gridCol w:w="4985"/>
      </w:tblGrid>
      <w:tr>
        <w:trPr>
          <w:trHeight w:val="165" w:hRule="atLeast"/>
        </w:trPr>
        <w:tc>
          <w:tcPr>
            <w:tcW w:w="675"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525" w:type="dxa"/>
            <w:gridSpan w:val="2"/>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19.12.2023</w:t>
            </w:r>
          </w:p>
        </w:tc>
        <w:tc>
          <w:tcPr>
            <w:tcW w:w="523"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32" w:type="dxa"/>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753</w:t>
            </w:r>
          </w:p>
        </w:tc>
        <w:tc>
          <w:tcPr>
            <w:tcW w:w="4985" w:type="dxa"/>
            <w:tcBorders/>
          </w:tcPr>
          <w:p>
            <w:pPr>
              <w:pStyle w:val="Normal"/>
              <w:widowControl w:val="false"/>
              <w:spacing w:before="0" w:after="200"/>
              <w:rPr/>
            </w:pPr>
            <w:r>
              <w:rPr/>
            </w:r>
          </w:p>
        </w:tc>
      </w:tr>
      <w:tr>
        <w:trPr>
          <w:trHeight w:val="378" w:hRule="atLeast"/>
        </w:trPr>
        <w:tc>
          <w:tcPr>
            <w:tcW w:w="1527" w:type="dxa"/>
            <w:gridSpan w:val="2"/>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673" w:type="dxa"/>
            <w:tcBorders/>
          </w:tcPr>
          <w:p>
            <w:pPr>
              <w:pStyle w:val="Normal"/>
              <w:widowControl w:val="false"/>
              <w:spacing w:before="0" w:after="200"/>
              <w:rPr/>
            </w:pPr>
            <w:r>
              <w:rPr/>
            </w:r>
          </w:p>
        </w:tc>
        <w:tc>
          <w:tcPr>
            <w:tcW w:w="523" w:type="dxa"/>
            <w:tcBorders/>
          </w:tcPr>
          <w:p>
            <w:pPr>
              <w:pStyle w:val="Normal"/>
              <w:widowControl w:val="false"/>
              <w:spacing w:before="0" w:after="200"/>
              <w:rPr/>
            </w:pPr>
            <w:r>
              <w:rPr/>
            </w:r>
          </w:p>
        </w:tc>
        <w:tc>
          <w:tcPr>
            <w:tcW w:w="1532" w:type="dxa"/>
            <w:tcBorders/>
          </w:tcPr>
          <w:p>
            <w:pPr>
              <w:pStyle w:val="Normal"/>
              <w:widowControl w:val="false"/>
              <w:spacing w:before="0" w:after="200"/>
              <w:rPr/>
            </w:pPr>
            <w:r>
              <w:rPr/>
            </w:r>
          </w:p>
        </w:tc>
        <w:tc>
          <w:tcPr>
            <w:tcW w:w="4985" w:type="dxa"/>
            <w:tcBorders/>
          </w:tcPr>
          <w:p>
            <w:pPr>
              <w:pStyle w:val="Normal"/>
              <w:widowControl w:val="false"/>
              <w:spacing w:before="0" w:after="200"/>
              <w:rPr/>
            </w:pPr>
            <w:r>
              <w:rPr/>
            </w:r>
          </w:p>
        </w:tc>
      </w:tr>
      <w:tr>
        <w:trPr/>
        <w:tc>
          <w:tcPr>
            <w:tcW w:w="9240" w:type="dxa"/>
            <w:gridSpan w:val="6"/>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i/>
                <w:sz w:val="28"/>
                <w:szCs w:val="28"/>
                <w:lang w:eastAsia="ru-RU"/>
              </w:rPr>
              <w:t>О внесении изменений в постановление Администрации Артинского городского округа от 22.11.2022 № 664 «Об утверждении плана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w:t>
            </w:r>
            <w:r>
              <w:rPr>
                <w:rFonts w:eastAsia="Times New Roman" w:cs="Times New Roman" w:ascii="Times New Roman" w:hAnsi="Times New Roman"/>
                <w:b/>
                <w:bCs/>
                <w:i/>
                <w:iCs/>
                <w:sz w:val="28"/>
                <w:szCs w:val="28"/>
                <w:lang w:eastAsia="ru-RU"/>
              </w:rPr>
              <w:t xml:space="preserve"> (в редакции от 14.04.2023 № 202, от 31.05.2023 № 306)</w:t>
            </w:r>
          </w:p>
        </w:tc>
      </w:tr>
    </w:tbl>
    <w:p>
      <w:pPr>
        <w:pStyle w:val="Normal"/>
        <w:widowControl w:val="false"/>
        <w:overflowPunct w:val="fals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t xml:space="preserve">В целях реализации </w:t>
      </w:r>
      <w:hyperlink r:id="rId3">
        <w:r>
          <w:rPr>
            <w:rFonts w:cs="Times New Roman" w:ascii="Times New Roman" w:hAnsi="Times New Roman"/>
            <w:sz w:val="28"/>
            <w:szCs w:val="28"/>
          </w:rPr>
          <w:t>пункта 2</w:t>
        </w:r>
      </w:hyperlink>
      <w:r>
        <w:rPr>
          <w:rFonts w:cs="Times New Roman" w:ascii="Times New Roman" w:hAnsi="Times New Roman"/>
          <w:sz w:val="28"/>
          <w:szCs w:val="28"/>
        </w:rPr>
        <w:t xml:space="preserve"> Указа Президента Российской Федерации              от 07.05.2012 № 601 «Об основных направлениях совершенствования системы государственного управления», в связи с внесением изменений в Закон Свердловской области от 14.07.2014 № 74-ОЗ «Об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w:t>
      </w:r>
      <w:r>
        <w:rPr>
          <w:rFonts w:cs="Times New Roman" w:ascii="Times New Roman" w:hAnsi="Times New Roman"/>
          <w:i w:val="false"/>
          <w:iCs w:val="false"/>
          <w:sz w:val="28"/>
          <w:szCs w:val="28"/>
        </w:rPr>
        <w:t xml:space="preserve">(в редакции </w:t>
      </w:r>
      <w:r>
        <w:rPr>
          <w:rFonts w:cs="Times New Roman" w:ascii="Times New Roman" w:hAnsi="Times New Roman"/>
          <w:i w:val="false"/>
          <w:iCs w:val="false"/>
          <w:sz w:val="28"/>
          <w:szCs w:val="28"/>
          <w:shd w:fill="auto" w:val="clear"/>
        </w:rPr>
        <w:t>от 17.11.2021 № 99-ОЗ</w:t>
      </w:r>
      <w:r>
        <w:rPr>
          <w:rFonts w:cs="Times New Roman" w:ascii="Times New Roman" w:hAnsi="Times New Roman"/>
          <w:i/>
          <w:iCs/>
          <w:sz w:val="28"/>
          <w:szCs w:val="28"/>
          <w:shd w:fill="auto" w:val="clear"/>
        </w:rPr>
        <w:t>)</w:t>
      </w:r>
      <w:r>
        <w:rPr>
          <w:rFonts w:cs="Times New Roman" w:ascii="Times New Roman" w:hAnsi="Times New Roman"/>
          <w:i/>
          <w:iCs/>
          <w:sz w:val="28"/>
          <w:szCs w:val="28"/>
        </w:rPr>
        <w:t>,</w:t>
      </w:r>
      <w:r>
        <w:rPr>
          <w:rFonts w:cs="Times New Roman" w:ascii="Times New Roman" w:hAnsi="Times New Roman"/>
          <w:sz w:val="28"/>
          <w:szCs w:val="28"/>
        </w:rPr>
        <w:t xml:space="preserve"> в соответствии с Постановлением Правительства Свердловской области от 26.11.2014 г.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w:t>
      </w:r>
      <w:r>
        <w:rPr>
          <w:rFonts w:cs="Times New Roman" w:ascii="Times New Roman" w:hAnsi="Times New Roman"/>
          <w:i w:val="false"/>
          <w:iCs w:val="false"/>
          <w:sz w:val="28"/>
          <w:szCs w:val="28"/>
        </w:rPr>
        <w:t>(в редакции</w:t>
      </w:r>
      <w:r>
        <w:rPr>
          <w:rFonts w:eastAsia="SimSun" w:cs="Times New Roman" w:ascii="Times New Roman" w:hAnsi="Times New Roman"/>
          <w:i w:val="false"/>
          <w:iCs w:val="false"/>
          <w:sz w:val="28"/>
          <w:szCs w:val="28"/>
        </w:rPr>
        <w:t xml:space="preserve"> </w:t>
      </w:r>
      <w:r>
        <w:rPr>
          <w:rFonts w:eastAsia="SimSun" w:cs="Times New Roman" w:ascii="Times New Roman" w:hAnsi="Times New Roman"/>
          <w:i w:val="false"/>
          <w:iCs w:val="false"/>
          <w:sz w:val="28"/>
          <w:szCs w:val="28"/>
          <w:shd w:fill="auto" w:val="clear"/>
        </w:rPr>
        <w:t>от 19.11.2021 № 795-ПП</w:t>
      </w:r>
      <w:r>
        <w:rPr>
          <w:rFonts w:eastAsia="SimSun" w:cs="Times New Roman" w:ascii="Times New Roman" w:hAnsi="Times New Roman"/>
          <w:i w:val="false"/>
          <w:iCs w:val="false"/>
          <w:sz w:val="28"/>
          <w:szCs w:val="28"/>
        </w:rPr>
        <w:t>),</w:t>
      </w:r>
      <w:r>
        <w:rPr>
          <w:rFonts w:cs="Times New Roman" w:ascii="Times New Roman" w:hAnsi="Times New Roman"/>
          <w:i w:val="false"/>
          <w:iCs w:val="false"/>
          <w:sz w:val="28"/>
          <w:szCs w:val="28"/>
        </w:rPr>
        <w:t xml:space="preserve"> в соответствии с Постановлением Адм</w:t>
      </w:r>
      <w:r>
        <w:rPr>
          <w:rFonts w:cs="Times New Roman" w:ascii="Times New Roman" w:hAnsi="Times New Roman"/>
          <w:sz w:val="28"/>
          <w:szCs w:val="28"/>
        </w:rPr>
        <w:t>инистрации Артинского городского округа</w:t>
      </w:r>
      <w:r>
        <w:rPr>
          <w:rFonts w:cs="Times New Roman" w:ascii="Times New Roman" w:hAnsi="Times New Roman"/>
          <w:i/>
          <w:sz w:val="28"/>
          <w:szCs w:val="28"/>
        </w:rPr>
        <w:t xml:space="preserve"> </w:t>
      </w:r>
      <w:r>
        <w:rPr>
          <w:rFonts w:cs="Times New Roman" w:ascii="Times New Roman" w:hAnsi="Times New Roman"/>
          <w:sz w:val="28"/>
          <w:szCs w:val="28"/>
        </w:rPr>
        <w:t>«</w:t>
      </w:r>
      <w:r>
        <w:rPr>
          <w:rFonts w:cs="Times New Roman" w:ascii="Times New Roman" w:hAnsi="Times New Roman"/>
          <w:spacing w:val="2"/>
          <w:sz w:val="28"/>
          <w:szCs w:val="28"/>
          <w:shd w:fill="FFFFFF" w:val="clear"/>
        </w:rPr>
        <w:t xml:space="preserve">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от 30.12.2021г. № 696 (в редакции от 24.06.2022 № 372),  руководствуясь Уставом Артинского городского округа, </w:t>
      </w:r>
    </w:p>
    <w:p>
      <w:pPr>
        <w:pStyle w:val="Normal"/>
        <w:widowControl w:val="false"/>
        <w:overflowPunct w:val="false"/>
        <w:spacing w:lineRule="auto" w:line="240" w:before="0" w:after="0"/>
        <w:jc w:val="both"/>
        <w:textAlignment w:val="baseline"/>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cs="Times New Roman" w:ascii="Times New Roman" w:hAnsi="Times New Roman"/>
          <w:i/>
          <w:sz w:val="28"/>
          <w:szCs w:val="28"/>
        </w:rPr>
        <w:t xml:space="preserve"> </w:t>
      </w:r>
      <w:r>
        <w:rPr>
          <w:rFonts w:eastAsia="Times New Roman" w:cs="Times New Roman" w:ascii="Times New Roman" w:hAnsi="Times New Roman"/>
          <w:b/>
          <w:bCs/>
          <w:sz w:val="28"/>
          <w:szCs w:val="28"/>
          <w:lang w:eastAsia="ru-RU"/>
        </w:rPr>
        <w:t>ПОСТАНОВЛЯЮ:</w:t>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eastAsia="Times New Roman" w:cs="Times New Roman"/>
          <w:bCs/>
          <w:spacing w:val="2"/>
          <w:sz w:val="28"/>
          <w:szCs w:val="28"/>
          <w:highlight w:val="yellow"/>
          <w:shd w:fill="FFFFFF" w:val="clear"/>
          <w:lang w:eastAsia="ru-RU"/>
        </w:rPr>
      </w:pPr>
      <w:r>
        <w:rPr>
          <w:rFonts w:eastAsia="Times New Roman" w:cs="Times New Roman" w:ascii="Times New Roman" w:hAnsi="Times New Roman"/>
          <w:b/>
          <w:bCs/>
          <w:sz w:val="28"/>
          <w:szCs w:val="28"/>
          <w:lang w:eastAsia="ru-RU"/>
        </w:rPr>
        <w:tab/>
      </w:r>
      <w:r>
        <w:rPr>
          <w:rFonts w:eastAsia="Times New Roman" w:cs="Times New Roman" w:ascii="Times New Roman" w:hAnsi="Times New Roman"/>
          <w:bCs/>
          <w:sz w:val="28"/>
          <w:szCs w:val="28"/>
          <w:lang w:eastAsia="ru-RU"/>
        </w:rPr>
        <w:t>1. П</w:t>
      </w:r>
      <w:r>
        <w:rPr>
          <w:rFonts w:cs="Times New Roman" w:ascii="Times New Roman" w:hAnsi="Times New Roman"/>
          <w:sz w:val="28"/>
          <w:szCs w:val="28"/>
        </w:rPr>
        <w:t xml:space="preserve">лан </w:t>
      </w:r>
      <w:r>
        <w:rPr>
          <w:rFonts w:eastAsia="Times New Roman" w:cs="Times New Roman" w:ascii="Times New Roman" w:hAnsi="Times New Roman"/>
          <w:bCs/>
          <w:spacing w:val="2"/>
          <w:sz w:val="28"/>
          <w:szCs w:val="28"/>
          <w:shd w:fill="FFFFFF" w:val="clear"/>
          <w:lang w:eastAsia="ru-RU"/>
        </w:rPr>
        <w:t>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 читать в новой редакции (прилагается).</w:t>
      </w:r>
      <w:r>
        <w:rPr>
          <w:rFonts w:eastAsia="Times New Roman" w:cs="Times New Roman" w:ascii="Times New Roman" w:hAnsi="Times New Roman"/>
          <w:bCs/>
          <w:spacing w:val="2"/>
          <w:sz w:val="28"/>
          <w:szCs w:val="28"/>
          <w:highlight w:val="yellow"/>
          <w:shd w:fill="FFFFFF" w:val="clear"/>
          <w:lang w:eastAsia="ru-RU"/>
        </w:rPr>
        <w:t xml:space="preserve"> </w:t>
      </w:r>
    </w:p>
    <w:p>
      <w:pPr>
        <w:pStyle w:val="Normal"/>
        <w:spacing w:lineRule="auto" w:line="240" w:before="0" w:after="0"/>
        <w:ind w:hanging="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ab/>
        <w:t xml:space="preserve">2. </w:t>
      </w:r>
      <w:r>
        <w:rPr>
          <w:rFonts w:eastAsia="Times New Roman" w:cs="Times New Roman" w:ascii="Times New Roman" w:hAnsi="Times New Roman"/>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 </w:t>
      </w:r>
      <w:hyperlink r:id="rId4">
        <w:r>
          <w:rPr>
            <w:rFonts w:eastAsia="Times New Roman" w:cs="Times New Roman" w:ascii="Times New Roman" w:hAnsi="Times New Roman"/>
            <w:bCs/>
            <w:sz w:val="28"/>
            <w:szCs w:val="28"/>
            <w:lang w:eastAsia="ru-RU"/>
          </w:rPr>
          <w:t>http://arti.midural.ru/</w:t>
        </w:r>
      </w:hyperlink>
      <w:r>
        <w:rPr>
          <w:rFonts w:eastAsia="Times New Roman" w:cs="Times New Roman" w:ascii="Times New Roman" w:hAnsi="Times New Roman"/>
          <w:bCs/>
          <w:sz w:val="28"/>
          <w:szCs w:val="28"/>
          <w:lang w:eastAsia="ru-RU"/>
        </w:rPr>
        <w:t>.</w:t>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ab/>
        <w:t>3.</w:t>
      </w:r>
      <w:r>
        <w:rPr>
          <w:rFonts w:eastAsia="Times New Roman" w:cs="Times New Roman" w:ascii="Times New Roman" w:hAnsi="Times New Roman"/>
          <w:sz w:val="28"/>
          <w:szCs w:val="28"/>
          <w:lang w:eastAsia="ru-RU"/>
        </w:rPr>
        <w:t xml:space="preserve"> Настоящее постановление вступает в силу с момента подписания.</w:t>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4. Контроль за выполнением настоящего постановления оставляю за собой.</w:t>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keepNext w:val="true"/>
        <w:numPr>
          <w:ilvl w:val="0"/>
          <w:numId w:val="0"/>
        </w:numPr>
        <w:overflowPunct w:val="fals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И.о. Главы  Артинского городского округа                                        </w:t>
      </w:r>
      <w:r>
        <w:rPr>
          <w:rFonts w:eastAsia="Times New Roman" w:cs="Times New Roman" w:ascii="Times New Roman" w:hAnsi="Times New Roman"/>
          <w:color w:val="auto"/>
          <w:kern w:val="0"/>
          <w:sz w:val="28"/>
          <w:szCs w:val="28"/>
          <w:lang w:val="ru-RU" w:eastAsia="ru-RU" w:bidi="ar-SA"/>
        </w:rPr>
        <w:t>В.И. Кожев</w:t>
      </w:r>
    </w:p>
    <w:p>
      <w:pPr>
        <w:pStyle w:val="Normal"/>
        <w:overflowPunct w:val="fals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r>
        <w:br w:type="page"/>
      </w:r>
    </w:p>
    <w:p>
      <w:pPr>
        <w:pStyle w:val="Normal"/>
        <w:overflowPunct w:val="false"/>
        <w:spacing w:lineRule="auto" w:line="240" w:before="0" w:after="0"/>
        <w:ind w:left="5040" w:hanging="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Утвержден </w:t>
      </w:r>
    </w:p>
    <w:p>
      <w:pPr>
        <w:pStyle w:val="Normal"/>
        <w:widowControl w:val="false"/>
        <w:numPr>
          <w:ilvl w:val="0"/>
          <w:numId w:val="0"/>
        </w:numPr>
        <w:overflowPunct w:val="fals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постановлением Администрации Артинского городского округа  </w:t>
      </w:r>
    </w:p>
    <w:p>
      <w:pPr>
        <w:pStyle w:val="Normal"/>
        <w:widowControl w:val="false"/>
        <w:numPr>
          <w:ilvl w:val="0"/>
          <w:numId w:val="0"/>
        </w:numPr>
        <w:overflowPunct w:val="fals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19.12.2023 № 753</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bookmarkStart w:id="0" w:name="Par43"/>
      <w:bookmarkStart w:id="1" w:name="Par9"/>
      <w:bookmarkEnd w:id="0"/>
      <w:bookmarkEnd w:id="1"/>
      <w:r>
        <w:rPr>
          <w:rFonts w:eastAsia="Times New Roman" w:cs="Times New Roman" w:ascii="Times New Roman" w:hAnsi="Times New Roman"/>
          <w:bCs/>
          <w:color w:val="000000"/>
          <w:sz w:val="28"/>
          <w:szCs w:val="28"/>
          <w:lang w:eastAsia="ru-RU"/>
        </w:rPr>
        <w:t xml:space="preserve">План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2023 год </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4818"/>
        <w:gridCol w:w="3184"/>
        <w:gridCol w:w="1919"/>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 xml:space="preserve">№ </w:t>
            </w:r>
            <w:r>
              <w:rPr>
                <w:rFonts w:eastAsia="Times New Roman" w:cs="Times New Roman" w:ascii="yandex-sans" w:hAnsi="yandex-sans"/>
                <w:color w:val="000000"/>
                <w:sz w:val="23"/>
                <w:szCs w:val="23"/>
                <w:lang w:eastAsia="ru-RU"/>
              </w:rPr>
              <w:t>п/п</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Наименование нормативного правового акта</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Разработчик</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нормативного правового акта, к компетенции и полномочиям</w:t>
            </w:r>
          </w:p>
          <w:p>
            <w:pPr>
              <w:pStyle w:val="Normal"/>
              <w:widowControl w:val="false"/>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Times New Roman" w:hAnsi="Times New Roman"/>
                <w:sz w:val="24"/>
                <w:szCs w:val="24"/>
                <w:lang w:eastAsia="ru-RU"/>
              </w:rPr>
              <w:t>которого относится исследуемая сфера общественных отношений</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Время проведения экспертизы (квартал, год)</w:t>
            </w:r>
          </w:p>
        </w:tc>
      </w:tr>
      <w:tr>
        <w:trPr>
          <w:trHeight w:val="498"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3184"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3</w:t>
            </w:r>
          </w:p>
        </w:tc>
        <w:tc>
          <w:tcPr>
            <w:tcW w:w="191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4</w:t>
            </w:r>
          </w:p>
        </w:tc>
      </w:tr>
      <w:tr>
        <w:trPr>
          <w:trHeight w:val="1410"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Решение Думы Артинского городского округа  от 26.08.2021 г. № 46 «Об  утверждении Положения «О муниципальном лесном контроле на территории Артинского городского округа» (в редакции от 26.01.2023 № 8)</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 квартал 2023 года</w:t>
            </w:r>
          </w:p>
        </w:tc>
      </w:tr>
      <w:tr>
        <w:trPr>
          <w:trHeight w:val="1410"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200"/>
              <w:jc w:val="left"/>
              <w:rPr>
                <w:rFonts w:ascii="Times New Roman" w:hAnsi="Times New Roman" w:cs="Times New Roman"/>
                <w:shd w:fill="auto" w:val="clear"/>
              </w:rPr>
            </w:pPr>
            <w:r>
              <w:rPr>
                <w:rFonts w:cs="Times New Roman" w:ascii="Times New Roman" w:hAnsi="Times New Roman"/>
                <w:shd w:fill="auto" w:val="clear"/>
              </w:rPr>
              <w:t>Постановление Администрации Артинского городского округа  от 24.08.2017 г. № 713 «Об утверждении порядка формирования, ведения, обязательного опубликования перечня имущества, находящегося в собственности Артинского городского округа, свободного от прав третьих лиц (за исключением имущественных прав субъектов малого и среднего предпринимательства)» (в редакции от 10.06.2022 № 322).</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200"/>
              <w:jc w:val="center"/>
              <w:rPr>
                <w:rFonts w:ascii="Times New Roman" w:hAnsi="Times New Roman" w:cs="Times New Roman"/>
                <w:shd w:fill="auto" w:val="clear"/>
              </w:rPr>
            </w:pPr>
            <w:r>
              <w:rPr>
                <w:rFonts w:eastAsia="Times New Roman" w:cs="Times New Roman" w:ascii="Times New Roman" w:hAnsi="Times New Roman"/>
                <w:color w:val="000000"/>
                <w:sz w:val="24"/>
                <w:szCs w:val="24"/>
                <w:shd w:fill="auto" w:val="clear"/>
                <w:lang w:eastAsia="ru-RU"/>
              </w:rPr>
              <w:t>Комитет по управлению имуществом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200"/>
              <w:jc w:val="center"/>
              <w:rPr>
                <w:rFonts w:ascii="Times New Roman" w:hAnsi="Times New Roman" w:cs="Times New Roman"/>
                <w:shd w:fill="auto" w:val="clear"/>
              </w:rPr>
            </w:pPr>
            <w:r>
              <w:rPr>
                <w:rFonts w:eastAsia="Times New Roman" w:cs="Times New Roman" w:ascii="Times New Roman" w:hAnsi="Times New Roman"/>
                <w:color w:val="000000"/>
                <w:sz w:val="23"/>
                <w:szCs w:val="23"/>
                <w:shd w:fill="auto" w:val="clear"/>
                <w:lang w:eastAsia="ru-RU"/>
              </w:rPr>
              <w:t>2 квартал 2023 года</w:t>
            </w:r>
          </w:p>
        </w:tc>
      </w:tr>
      <w:tr>
        <w:trPr>
          <w:trHeight w:val="1410"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200"/>
              <w:rPr>
                <w:rFonts w:ascii="Times New Roman" w:hAnsi="Times New Roman" w:cs="Times New Roman"/>
                <w:shd w:fill="auto" w:val="clear"/>
              </w:rPr>
            </w:pPr>
            <w:r>
              <w:rPr>
                <w:rFonts w:cs="Times New Roman" w:ascii="Times New Roman" w:hAnsi="Times New Roman"/>
                <w:shd w:fill="auto" w:val="clear"/>
              </w:rPr>
              <w:t>О внесении изменений в постановление Администрации Артинского городского округа  от 27.12.2018г. № 1033 «Об утверждении схемы размещения нестационарных торговых объектов на территории Артинского городского округа» (в редакции от 11.06.2019г.  № 801).</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Комитет по экономике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200"/>
              <w:jc w:val="center"/>
              <w:rPr>
                <w:rFonts w:ascii="Times New Roman" w:hAnsi="Times New Roman" w:cs="Times New Roman"/>
                <w:shd w:fill="auto" w:val="clear"/>
              </w:rPr>
            </w:pPr>
            <w:r>
              <w:rPr>
                <w:rFonts w:eastAsia="Times New Roman" w:cs="Times New Roman" w:ascii="Times New Roman" w:hAnsi="Times New Roman"/>
                <w:color w:val="000000"/>
                <w:sz w:val="23"/>
                <w:szCs w:val="23"/>
                <w:shd w:fill="auto" w:val="clear"/>
                <w:lang w:eastAsia="ru-RU"/>
              </w:rPr>
              <w:t>3 квартал 2023 года</w:t>
            </w:r>
          </w:p>
        </w:tc>
      </w:tr>
      <w:tr>
        <w:trPr>
          <w:trHeight w:val="1410"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4.</w:t>
            </w:r>
          </w:p>
        </w:tc>
        <w:tc>
          <w:tcPr>
            <w:tcW w:w="4818" w:type="dxa"/>
            <w:tcBorders>
              <w:left w:val="single" w:sz="6" w:space="0" w:color="00000A"/>
              <w:bottom w:val="single" w:sz="6" w:space="0" w:color="00000A"/>
              <w:right w:val="single" w:sz="6" w:space="0" w:color="00000A"/>
            </w:tcBorders>
            <w:shd w:color="auto" w:fill="FFFFFF" w:val="clear"/>
          </w:tcPr>
          <w:p>
            <w:pPr>
              <w:pStyle w:val="Style19"/>
              <w:widowControl w:val="false"/>
              <w:spacing w:lineRule="auto" w:line="240" w:beforeAutospacing="1" w:after="0"/>
              <w:jc w:val="left"/>
              <w:rPr>
                <w:rFonts w:ascii="Times New Roman" w:hAnsi="Times New Roman" w:cs="Times New Roman"/>
                <w:shd w:fill="auto" w:val="clear"/>
              </w:rPr>
            </w:pPr>
            <w:r>
              <w:rPr>
                <w:rFonts w:cs="Times New Roman" w:ascii="Times New Roman" w:hAnsi="Times New Roman"/>
                <w:shd w:fill="auto" w:val="clear"/>
              </w:rPr>
              <w:t>Решение Думы Артинского городского округа  от 26.08.2021 г. № 44 «Об  утверждении Положения «О муниципальном контроле в сфере благоустройства в Артинском городском округе».</w:t>
            </w:r>
          </w:p>
        </w:tc>
        <w:tc>
          <w:tcPr>
            <w:tcW w:w="3184"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sz w:val="24"/>
                <w:szCs w:val="24"/>
                <w:shd w:fill="auto" w:val="clear"/>
                <w:lang w:eastAsia="ru-RU"/>
              </w:rPr>
            </w:pPr>
            <w:r>
              <w:rPr>
                <w:rFonts w:eastAsia="Times New Roman" w:cs="Times New Roman" w:ascii="Times New Roman" w:hAnsi="Times New Roman"/>
                <w:color w:val="000000"/>
                <w:sz w:val="24"/>
                <w:szCs w:val="24"/>
                <w:shd w:fill="auto" w:val="clear"/>
                <w:lang w:eastAsia="ru-RU"/>
              </w:rPr>
              <w:t>Отдел ЖКХ Администрации Артинского городского округа</w:t>
            </w:r>
          </w:p>
        </w:tc>
        <w:tc>
          <w:tcPr>
            <w:tcW w:w="1919"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4 квартал 2023 года</w:t>
            </w:r>
          </w:p>
        </w:tc>
      </w:tr>
    </w:tbl>
    <w:p>
      <w:pPr>
        <w:sectPr>
          <w:type w:val="nextPage"/>
          <w:pgSz w:w="11906" w:h="16838"/>
          <w:pgMar w:left="1701" w:right="850" w:gutter="0" w:header="0" w:top="1134" w:footer="0" w:bottom="1134"/>
          <w:pgNumType w:fmt="decimal"/>
          <w:formProt w:val="false"/>
          <w:textDirection w:val="lrTb"/>
          <w:docGrid w:type="default" w:linePitch="299" w:charSpace="4096"/>
        </w:sectPr>
      </w:pPr>
    </w:p>
    <w:p>
      <w:pPr>
        <w:sectPr>
          <w:type w:val="nextPage"/>
          <w:pgSz w:w="11906" w:h="16838"/>
          <w:pgMar w:left="1540" w:right="846" w:gutter="0" w:header="0" w:top="635" w:footer="0" w:bottom="847"/>
          <w:pgNumType w:start="1" w:fmt="decimal"/>
          <w:formProt w:val="false"/>
          <w:textDirection w:val="lrTb"/>
          <w:docGrid w:type="default" w:linePitch="100" w:charSpace="4096"/>
        </w:sectPr>
        <w:pStyle w:val="Normal"/>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
    </w:p>
    <w:p>
      <w:pPr>
        <w:pStyle w:val="Normal"/>
        <w:rPr>
          <w:b/>
          <w:b/>
          <w:bCs/>
        </w:rPr>
      </w:pPr>
      <w:r>
        <w:rPr>
          <w:b/>
          <w:bCs/>
        </w:rPr>
      </w:r>
    </w:p>
    <w:p>
      <w:pPr>
        <w:pStyle w:val="Normal"/>
        <w:widowControl/>
        <w:bidi w:val="0"/>
        <w:spacing w:lineRule="auto" w:line="276" w:before="0" w:after="200"/>
        <w:jc w:val="left"/>
        <w:rPr>
          <w:rFonts w:ascii="Times New Roman" w:hAnsi="Times New Roman" w:eastAsia="Times New Roman" w:cs="Times New Roman"/>
          <w:b/>
          <w:b/>
          <w:sz w:val="28"/>
          <w:szCs w:val="28"/>
          <w:lang w:eastAsia="ru-RU"/>
        </w:rPr>
      </w:pPr>
      <w:r>
        <w:rPr/>
      </w:r>
    </w:p>
    <w:sectPr>
      <w:headerReference w:type="default" r:id="rId5"/>
      <w:footerReference w:type="default" r:id="rId6"/>
      <w:type w:val="nextPage"/>
      <w:pgSz w:w="11906" w:h="16838"/>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yandex-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szCs w:val="10"/>
      </w:rPr>
    </w:pPr>
    <w:r>
      <w:rPr>
        <w:szCs w:val="10"/>
      </w:rPr>
      <w:t xml:space="preserve"> </w:t>
    </w:r>
  </w:p>
  <w:p>
    <w:pPr>
      <w:pStyle w:val="Style25"/>
      <w:jc w:val="righ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semiHidden/>
    <w:qFormat/>
    <w:rsid w:val="00652770"/>
    <w:rPr/>
  </w:style>
  <w:style w:type="character" w:styleId="Style14" w:customStyle="1">
    <w:name w:val="Нижний колонтитул Знак"/>
    <w:basedOn w:val="DefaultParagraphFont"/>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uiPriority w:val="99"/>
    <w:semiHidden/>
    <w:qFormat/>
    <w:rsid w:val="00652770"/>
    <w:rPr>
      <w:rFonts w:ascii="Tahoma" w:hAnsi="Tahoma" w:cs="Tahoma"/>
      <w:sz w:val="16"/>
      <w:szCs w:val="16"/>
    </w:rPr>
  </w:style>
  <w:style w:type="character" w:styleId="Style16">
    <w:name w:val="Hyperlink"/>
    <w:basedOn w:val="DefaultParagraphFont"/>
    <w:uiPriority w:val="99"/>
    <w:unhideWhenUsed/>
    <w:rsid w:val="00347e4e"/>
    <w:rPr>
      <w:color w:val="0000FF" w:themeColor="hyperlink"/>
      <w:u w:val="single"/>
    </w:rPr>
  </w:style>
  <w:style w:type="character" w:styleId="11" w:customStyle="1">
    <w:name w:val="Заголовок 1 Знак"/>
    <w:basedOn w:val="DefaultParagraphFont"/>
    <w:uiPriority w:val="9"/>
    <w:qFormat/>
    <w:rsid w:val="00103fc9"/>
    <w:rPr>
      <w:rFonts w:ascii="Cambria" w:hAnsi="Cambria" w:eastAsia="" w:cs="" w:asciiTheme="majorHAnsi" w:cstheme="majorBidi" w:eastAsiaTheme="majorEastAsia" w:hAnsiTheme="majorHAnsi"/>
      <w:b/>
      <w:bCs/>
      <w:color w:val="365F91" w:themeColor="accent1" w:themeShade="bf"/>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7" w:customStyle="1">
    <w:name w:val="Основной текст_"/>
    <w:basedOn w:val="DefaultParagraphFont"/>
    <w:link w:val="2"/>
    <w:qFormat/>
    <w:locked/>
    <w:rsid w:val="00e52e90"/>
    <w:rPr>
      <w:spacing w:val="2"/>
      <w:sz w:val="25"/>
      <w:szCs w:val="25"/>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Style26">
    <w:name w:val="Footer"/>
    <w:basedOn w:val="Normal"/>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left="1287" w:hanging="360"/>
      <w:jc w:val="both"/>
    </w:pPr>
    <w:rPr>
      <w:rFonts w:ascii="Verdana" w:hAnsi="Verdana" w:eastAsia="Times New Roman" w:cs="Verdana"/>
      <w:sz w:val="20"/>
      <w:szCs w:val="20"/>
      <w:lang w:val="en-US"/>
    </w:rPr>
  </w:style>
  <w:style w:type="paragraph" w:styleId="BalloonText">
    <w:name w:val="Balloon Text"/>
    <w:basedOn w:val="Normal"/>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2FEC4915E7EAA2F57F48F8C56839ED57CC81E3A97A78FEAF1940BF00BE059ECF5D26869DD7B05BCvDK3E" TargetMode="External"/><Relationship Id="rId4" Type="http://schemas.openxmlformats.org/officeDocument/2006/relationships/hyperlink" Target="http://arti.midural.r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Application>LibreOffice/7.4.6.2$Windows_X86_64 LibreOffice_project/5b1f5509c2decdade7fda905e3e1429a67acd63d</Application>
  <AppVersion>15.0000</AppVersion>
  <Pages>6</Pages>
  <Words>513</Words>
  <Characters>3650</Characters>
  <CharactersWithSpaces>4224</CharactersWithSpaces>
  <Paragraphs>47</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cp:lastPrinted>2023-12-20T16:06:52Z</cp:lastPrinted>
  <dcterms:modified xsi:type="dcterms:W3CDTF">2023-12-26T10:31:57Z</dcterms:modified>
  <cp:revision>360</cp:revision>
  <dc:subject/>
  <dc:title/>
</cp:coreProperties>
</file>

<file path=docProps/custom.xml><?xml version="1.0" encoding="utf-8"?>
<Properties xmlns="http://schemas.openxmlformats.org/officeDocument/2006/custom-properties" xmlns:vt="http://schemas.openxmlformats.org/officeDocument/2006/docPropsVTypes"/>
</file>